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D" w:rsidRPr="006878AE" w:rsidRDefault="0020253A" w:rsidP="00584076">
      <w:pPr>
        <w:pBdr>
          <w:bottom w:val="single" w:sz="4" w:space="1" w:color="auto"/>
        </w:pBdr>
        <w:tabs>
          <w:tab w:val="center" w:pos="5387"/>
        </w:tabs>
        <w:jc w:val="both"/>
        <w:rPr>
          <w:b/>
          <w:szCs w:val="24"/>
        </w:rPr>
      </w:pPr>
      <w:r w:rsidRPr="006878AE">
        <w:rPr>
          <w:b/>
          <w:szCs w:val="24"/>
        </w:rPr>
        <w:t>X 3-</w:t>
      </w:r>
      <w:r w:rsidR="00D2118F">
        <w:rPr>
          <w:b/>
          <w:szCs w:val="24"/>
        </w:rPr>
        <w:t>4</w:t>
      </w:r>
      <w:r w:rsidR="00D05553">
        <w:rPr>
          <w:b/>
          <w:szCs w:val="24"/>
        </w:rPr>
        <w:t>-1</w:t>
      </w:r>
      <w:r w:rsidRPr="006878AE">
        <w:rPr>
          <w:b/>
          <w:szCs w:val="24"/>
        </w:rPr>
        <w:tab/>
      </w:r>
      <w:r w:rsidR="000E50F7">
        <w:rPr>
          <w:b/>
          <w:szCs w:val="24"/>
        </w:rPr>
        <w:t>PROBLÈMES DE POURCENTAGES</w:t>
      </w:r>
    </w:p>
    <w:p w:rsidR="0020253A" w:rsidRPr="00665178" w:rsidRDefault="0020253A" w:rsidP="00584076">
      <w:pPr>
        <w:jc w:val="both"/>
        <w:rPr>
          <w:sz w:val="12"/>
          <w:szCs w:val="12"/>
        </w:rPr>
      </w:pPr>
    </w:p>
    <w:p w:rsidR="00B56206" w:rsidRDefault="00B56206" w:rsidP="00584076">
      <w:pPr>
        <w:jc w:val="both"/>
        <w:rPr>
          <w:i/>
          <w:sz w:val="18"/>
          <w:szCs w:val="18"/>
        </w:rPr>
        <w:sectPr w:rsidR="00B56206" w:rsidSect="00B56206">
          <w:pgSz w:w="11906" w:h="16838"/>
          <w:pgMar w:top="567" w:right="567" w:bottom="567" w:left="567" w:header="720" w:footer="720" w:gutter="0"/>
          <w:cols w:sep="1" w:space="709"/>
          <w:docGrid w:linePitch="326"/>
        </w:sectPr>
      </w:pPr>
    </w:p>
    <w:p w:rsidR="0009078A" w:rsidRPr="002337D5" w:rsidRDefault="00D2118F" w:rsidP="0058407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Pp5 : Calculer et utiliser un pourcentage</w:t>
      </w:r>
    </w:p>
    <w:p w:rsidR="00DA1FC9" w:rsidRDefault="00D5406A" w:rsidP="00DA1FC9">
      <w:pPr>
        <w:tabs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B46ED">
        <w:rPr>
          <w:color w:val="17365D" w:themeColor="text2" w:themeShade="BF"/>
          <w:sz w:val="40"/>
          <w:szCs w:val="40"/>
        </w:rPr>
        <w:instrText xml:space="preserve"> eq \x(1)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B46ED" w:rsidRPr="00DD671D">
        <w:rPr>
          <w:sz w:val="22"/>
          <w:szCs w:val="22"/>
        </w:rPr>
        <w:t xml:space="preserve"> </w:t>
      </w:r>
      <w:r w:rsidR="00DA1FC9">
        <w:rPr>
          <w:sz w:val="22"/>
          <w:szCs w:val="22"/>
        </w:rPr>
        <w:t>Mohamed s’est offert un nouvel ordinateur plus puissant. La capacité de son nouveau disque dur est 60 % supérieure à celle de son ancien ordinateur.</w:t>
      </w:r>
    </w:p>
    <w:p w:rsidR="00DA1FC9" w:rsidRDefault="00DA1FC9" w:rsidP="00DA1FC9">
      <w:pPr>
        <w:tabs>
          <w:tab w:val="left" w:pos="368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Sachant que son ancien ordinateur avait un disque dur de 500 GO, calcule la capacité du nouveau.</w:t>
      </w:r>
    </w:p>
    <w:p w:rsidR="00DA1FC9" w:rsidRDefault="00D5406A" w:rsidP="00DA1FC9">
      <w:pPr>
        <w:tabs>
          <w:tab w:val="left" w:pos="1701"/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B46ED">
        <w:rPr>
          <w:color w:val="17365D" w:themeColor="text2" w:themeShade="BF"/>
          <w:sz w:val="40"/>
          <w:szCs w:val="40"/>
        </w:rPr>
        <w:instrText xml:space="preserve"> eq \x(2)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B46ED" w:rsidRPr="00DD671D">
        <w:rPr>
          <w:sz w:val="22"/>
          <w:szCs w:val="22"/>
        </w:rPr>
        <w:t xml:space="preserve"> </w:t>
      </w:r>
      <w:r w:rsidR="00DA1FC9">
        <w:rPr>
          <w:sz w:val="22"/>
          <w:szCs w:val="22"/>
        </w:rPr>
        <w:t xml:space="preserve">Pendant les soldes, Hervé a acheté une paire de chaussures qui coûtait 80 € avant les soldes. Comme elle était soldée à 30 %, il déclare avoir ainsi économisé 30 €. </w:t>
      </w:r>
    </w:p>
    <w:p w:rsidR="008257F7" w:rsidRDefault="00DA1FC9" w:rsidP="00DA1FC9">
      <w:pPr>
        <w:tabs>
          <w:tab w:val="left" w:pos="1701"/>
          <w:tab w:val="left" w:pos="368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Quel est le montant de son économie réelle ?</w:t>
      </w:r>
    </w:p>
    <w:p w:rsidR="00584076" w:rsidRDefault="00D5406A" w:rsidP="00DA1FC9">
      <w:pPr>
        <w:tabs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B46ED">
        <w:rPr>
          <w:color w:val="17365D" w:themeColor="text2" w:themeShade="BF"/>
          <w:sz w:val="40"/>
          <w:szCs w:val="40"/>
        </w:rPr>
        <w:instrText xml:space="preserve"> eq \x(3)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B46ED" w:rsidRPr="00DD671D">
        <w:rPr>
          <w:sz w:val="22"/>
          <w:szCs w:val="22"/>
        </w:rPr>
        <w:t xml:space="preserve"> </w:t>
      </w:r>
      <w:r w:rsidR="00DA1FC9" w:rsidRPr="00DA1FC9">
        <w:rPr>
          <w:sz w:val="22"/>
          <w:szCs w:val="22"/>
        </w:rPr>
        <w:t>Noémie a placé</w:t>
      </w:r>
      <w:r w:rsidR="00DA1FC9">
        <w:rPr>
          <w:sz w:val="22"/>
          <w:szCs w:val="22"/>
        </w:rPr>
        <w:t>, en début d’année 201</w:t>
      </w:r>
      <w:r w:rsidR="00DD671D">
        <w:rPr>
          <w:sz w:val="22"/>
          <w:szCs w:val="22"/>
        </w:rPr>
        <w:t>7</w:t>
      </w:r>
      <w:r w:rsidR="00DA1FC9">
        <w:rPr>
          <w:sz w:val="22"/>
          <w:szCs w:val="22"/>
        </w:rPr>
        <w:t>,</w:t>
      </w:r>
      <w:r w:rsidR="00DA1FC9" w:rsidRPr="00DA1FC9">
        <w:rPr>
          <w:sz w:val="22"/>
          <w:szCs w:val="22"/>
        </w:rPr>
        <w:t xml:space="preserve"> 1</w:t>
      </w:r>
      <w:r w:rsidR="00DA1FC9">
        <w:rPr>
          <w:sz w:val="22"/>
          <w:szCs w:val="22"/>
        </w:rPr>
        <w:t> </w:t>
      </w:r>
      <w:r w:rsidR="00DA1FC9" w:rsidRPr="00DA1FC9">
        <w:rPr>
          <w:sz w:val="22"/>
          <w:szCs w:val="22"/>
        </w:rPr>
        <w:t>500</w:t>
      </w:r>
      <w:r w:rsidR="00DA1FC9">
        <w:rPr>
          <w:sz w:val="22"/>
          <w:szCs w:val="22"/>
        </w:rPr>
        <w:t xml:space="preserve"> €</w:t>
      </w:r>
      <w:r w:rsidR="00DA1FC9" w:rsidRPr="00DA1FC9">
        <w:rPr>
          <w:sz w:val="22"/>
          <w:szCs w:val="22"/>
        </w:rPr>
        <w:t xml:space="preserve"> sur un livret jeune rémunéré qui lui rapporte 1,75 % d’intérêts tous les ans.</w:t>
      </w:r>
    </w:p>
    <w:p w:rsidR="00DA1FC9" w:rsidRDefault="00DA1FC9" w:rsidP="00DA1FC9">
      <w:pPr>
        <w:tabs>
          <w:tab w:val="left" w:pos="3686"/>
        </w:tabs>
        <w:ind w:left="284"/>
        <w:jc w:val="both"/>
        <w:rPr>
          <w:sz w:val="22"/>
          <w:szCs w:val="22"/>
        </w:rPr>
      </w:pPr>
      <w:r w:rsidRPr="00DD671D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Quelle somme </w:t>
      </w:r>
      <w:r w:rsidR="000306E7">
        <w:rPr>
          <w:sz w:val="22"/>
          <w:szCs w:val="22"/>
        </w:rPr>
        <w:t xml:space="preserve">aura-t-elle </w:t>
      </w:r>
      <w:r>
        <w:rPr>
          <w:sz w:val="22"/>
          <w:szCs w:val="22"/>
        </w:rPr>
        <w:t xml:space="preserve">sur </w:t>
      </w:r>
      <w:r w:rsidR="00DD671D">
        <w:rPr>
          <w:sz w:val="22"/>
          <w:szCs w:val="22"/>
        </w:rPr>
        <w:t>son livret début 2018 ?</w:t>
      </w:r>
    </w:p>
    <w:p w:rsidR="00DD671D" w:rsidRDefault="00DD671D" w:rsidP="00DA1FC9">
      <w:pPr>
        <w:tabs>
          <w:tab w:val="left" w:pos="3686"/>
        </w:tabs>
        <w:ind w:left="284"/>
        <w:jc w:val="both"/>
        <w:rPr>
          <w:sz w:val="20"/>
        </w:rPr>
      </w:pPr>
      <w:r w:rsidRPr="00DD671D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Et en 2019 ? En 2020 ? En 2047 ?</w:t>
      </w:r>
    </w:p>
    <w:p w:rsidR="00DD671D" w:rsidRPr="00DD671D" w:rsidRDefault="00D5406A" w:rsidP="00467E91">
      <w:pPr>
        <w:tabs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B46ED">
        <w:rPr>
          <w:color w:val="17365D" w:themeColor="text2" w:themeShade="BF"/>
          <w:sz w:val="40"/>
          <w:szCs w:val="40"/>
        </w:rPr>
        <w:instrText xml:space="preserve"> eq \x(4)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B46ED" w:rsidRPr="00DD671D">
        <w:rPr>
          <w:sz w:val="22"/>
          <w:szCs w:val="22"/>
        </w:rPr>
        <w:t xml:space="preserve"> </w:t>
      </w:r>
      <w:r w:rsidR="00467E91">
        <w:rPr>
          <w:sz w:val="22"/>
          <w:szCs w:val="22"/>
        </w:rPr>
        <w:t>Certaines</w:t>
      </w:r>
      <w:r w:rsidR="00DD671D" w:rsidRPr="00DD671D">
        <w:rPr>
          <w:sz w:val="22"/>
          <w:szCs w:val="22"/>
        </w:rPr>
        <w:t xml:space="preserve"> librairies accordent une remise de 5 % sur les prix des livres aux étudiants.</w:t>
      </w:r>
      <w:r w:rsidR="00467E91">
        <w:rPr>
          <w:sz w:val="22"/>
          <w:szCs w:val="22"/>
        </w:rPr>
        <w:t xml:space="preserve"> </w:t>
      </w:r>
      <w:r w:rsidR="00DD671D" w:rsidRPr="00DD671D">
        <w:rPr>
          <w:sz w:val="22"/>
          <w:szCs w:val="22"/>
        </w:rPr>
        <w:t>Calcule le prix réduit pour un étudiant des livres suivants :</w:t>
      </w:r>
    </w:p>
    <w:p w:rsidR="00DD671D" w:rsidRPr="00DD671D" w:rsidRDefault="00DD671D" w:rsidP="00DD671D">
      <w:pPr>
        <w:tabs>
          <w:tab w:val="left" w:pos="3686"/>
        </w:tabs>
        <w:ind w:left="284"/>
        <w:jc w:val="both"/>
        <w:rPr>
          <w:sz w:val="22"/>
          <w:szCs w:val="22"/>
        </w:rPr>
      </w:pPr>
      <w:r w:rsidRPr="00DD671D">
        <w:rPr>
          <w:b/>
          <w:sz w:val="22"/>
          <w:szCs w:val="22"/>
        </w:rPr>
        <w:t>1°)</w:t>
      </w:r>
      <w:r w:rsidRPr="00DD671D">
        <w:rPr>
          <w:sz w:val="22"/>
          <w:szCs w:val="22"/>
        </w:rPr>
        <w:t xml:space="preserve"> </w:t>
      </w:r>
      <w:r w:rsidRPr="00DD671D">
        <w:rPr>
          <w:i/>
          <w:sz w:val="22"/>
          <w:szCs w:val="22"/>
        </w:rPr>
        <w:t>Annales du DPECF</w:t>
      </w:r>
      <w:r w:rsidRPr="00DD671D">
        <w:rPr>
          <w:sz w:val="22"/>
          <w:szCs w:val="22"/>
        </w:rPr>
        <w:t xml:space="preserve"> à 36 €.</w:t>
      </w:r>
    </w:p>
    <w:p w:rsidR="00DD671D" w:rsidRPr="00DD671D" w:rsidRDefault="00DD671D" w:rsidP="00DD671D">
      <w:pPr>
        <w:tabs>
          <w:tab w:val="left" w:pos="3686"/>
        </w:tabs>
        <w:ind w:left="284"/>
        <w:jc w:val="both"/>
        <w:rPr>
          <w:sz w:val="22"/>
          <w:szCs w:val="22"/>
        </w:rPr>
      </w:pPr>
      <w:r w:rsidRPr="00DD671D">
        <w:rPr>
          <w:b/>
          <w:sz w:val="22"/>
          <w:szCs w:val="22"/>
        </w:rPr>
        <w:t>2°)</w:t>
      </w:r>
      <w:r w:rsidRPr="00DD671D">
        <w:rPr>
          <w:sz w:val="22"/>
          <w:szCs w:val="22"/>
        </w:rPr>
        <w:t xml:space="preserve"> </w:t>
      </w:r>
      <w:r w:rsidRPr="00DD671D">
        <w:rPr>
          <w:i/>
          <w:sz w:val="22"/>
          <w:szCs w:val="22"/>
        </w:rPr>
        <w:t xml:space="preserve">The Great </w:t>
      </w:r>
      <w:proofErr w:type="spellStart"/>
      <w:r w:rsidRPr="00DD671D">
        <w:rPr>
          <w:i/>
          <w:sz w:val="22"/>
          <w:szCs w:val="22"/>
        </w:rPr>
        <w:t>Gatsby</w:t>
      </w:r>
      <w:proofErr w:type="spellEnd"/>
      <w:r w:rsidRPr="00DD671D">
        <w:rPr>
          <w:sz w:val="22"/>
          <w:szCs w:val="22"/>
        </w:rPr>
        <w:t xml:space="preserve"> à 17,50 €.</w:t>
      </w:r>
    </w:p>
    <w:p w:rsidR="00DD671D" w:rsidRPr="00DD671D" w:rsidRDefault="00DD671D" w:rsidP="00DD671D">
      <w:pPr>
        <w:tabs>
          <w:tab w:val="left" w:pos="3686"/>
        </w:tabs>
        <w:ind w:left="284"/>
        <w:jc w:val="both"/>
        <w:rPr>
          <w:sz w:val="22"/>
          <w:szCs w:val="22"/>
        </w:rPr>
      </w:pPr>
      <w:r w:rsidRPr="00DD671D">
        <w:rPr>
          <w:b/>
          <w:sz w:val="22"/>
          <w:szCs w:val="22"/>
        </w:rPr>
        <w:t>3°)</w:t>
      </w:r>
      <w:r w:rsidRPr="00DD671D">
        <w:rPr>
          <w:sz w:val="22"/>
          <w:szCs w:val="22"/>
        </w:rPr>
        <w:t xml:space="preserve"> </w:t>
      </w:r>
      <w:r w:rsidRPr="00DD671D">
        <w:rPr>
          <w:i/>
          <w:sz w:val="22"/>
          <w:szCs w:val="22"/>
        </w:rPr>
        <w:t>Traité de mycologie</w:t>
      </w:r>
      <w:r w:rsidRPr="00DD671D">
        <w:rPr>
          <w:sz w:val="22"/>
          <w:szCs w:val="22"/>
        </w:rPr>
        <w:t xml:space="preserve"> à 67 €.</w:t>
      </w:r>
    </w:p>
    <w:p w:rsidR="008E36ED" w:rsidRDefault="00D5406A" w:rsidP="00DA1FC9">
      <w:pPr>
        <w:tabs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F2507">
        <w:rPr>
          <w:color w:val="17365D" w:themeColor="text2" w:themeShade="BF"/>
          <w:sz w:val="40"/>
          <w:szCs w:val="40"/>
        </w:rPr>
        <w:instrText xml:space="preserve"> eq \x(5)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F2507" w:rsidRPr="00DD671D">
        <w:rPr>
          <w:sz w:val="22"/>
          <w:szCs w:val="22"/>
        </w:rPr>
        <w:t xml:space="preserve"> </w:t>
      </w:r>
      <w:r w:rsidR="00DD671D" w:rsidRPr="00DD671D">
        <w:rPr>
          <w:sz w:val="22"/>
          <w:szCs w:val="22"/>
        </w:rPr>
        <w:t xml:space="preserve">On peut lire sur une facture les prix </w:t>
      </w:r>
      <w:r w:rsidR="00467E91">
        <w:rPr>
          <w:sz w:val="22"/>
          <w:szCs w:val="22"/>
        </w:rPr>
        <w:t xml:space="preserve">unitaires </w:t>
      </w:r>
      <w:r w:rsidR="00DD671D" w:rsidRPr="00DD671D">
        <w:rPr>
          <w:sz w:val="22"/>
          <w:szCs w:val="22"/>
        </w:rPr>
        <w:t>Hors Taxe (</w:t>
      </w:r>
      <w:r w:rsidR="00467E91">
        <w:rPr>
          <w:sz w:val="22"/>
          <w:szCs w:val="22"/>
        </w:rPr>
        <w:t xml:space="preserve">PU </w:t>
      </w:r>
      <w:r w:rsidR="00DD671D" w:rsidRPr="00DD671D">
        <w:rPr>
          <w:sz w:val="22"/>
          <w:szCs w:val="22"/>
        </w:rPr>
        <w:t>HT)</w:t>
      </w:r>
      <w:r w:rsidR="00DD671D">
        <w:rPr>
          <w:sz w:val="22"/>
          <w:szCs w:val="22"/>
        </w:rPr>
        <w:t xml:space="preserve"> suivants :</w:t>
      </w:r>
    </w:p>
    <w:p w:rsidR="00467E91" w:rsidRPr="00467E91" w:rsidRDefault="00467E91" w:rsidP="00DA1FC9">
      <w:pPr>
        <w:tabs>
          <w:tab w:val="left" w:pos="3686"/>
        </w:tabs>
        <w:ind w:left="284" w:hanging="284"/>
        <w:jc w:val="both"/>
        <w:rPr>
          <w:sz w:val="12"/>
          <w:szCs w:val="12"/>
        </w:rPr>
      </w:pPr>
    </w:p>
    <w:tbl>
      <w:tblPr>
        <w:tblStyle w:val="Tramemoyenne1-Accent3"/>
        <w:tblW w:w="0" w:type="auto"/>
        <w:tblInd w:w="392" w:type="dxa"/>
        <w:tblLook w:val="04A0"/>
      </w:tblPr>
      <w:tblGrid>
        <w:gridCol w:w="2835"/>
        <w:gridCol w:w="850"/>
        <w:gridCol w:w="1134"/>
      </w:tblGrid>
      <w:tr w:rsidR="00467E91" w:rsidTr="00467E91">
        <w:trPr>
          <w:cnfStyle w:val="100000000000"/>
        </w:trPr>
        <w:tc>
          <w:tcPr>
            <w:cnfStyle w:val="001000000000"/>
            <w:tcW w:w="2835" w:type="dxa"/>
          </w:tcPr>
          <w:p w:rsidR="00467E91" w:rsidRDefault="00467E91" w:rsidP="00467E91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Détails</w:t>
            </w:r>
          </w:p>
        </w:tc>
        <w:tc>
          <w:tcPr>
            <w:tcW w:w="850" w:type="dxa"/>
          </w:tcPr>
          <w:p w:rsidR="00467E91" w:rsidRDefault="00467E91" w:rsidP="00467E91">
            <w:pPr>
              <w:tabs>
                <w:tab w:val="left" w:pos="3686"/>
              </w:tabs>
              <w:jc w:val="both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</w:t>
            </w:r>
          </w:p>
        </w:tc>
        <w:tc>
          <w:tcPr>
            <w:tcW w:w="1134" w:type="dxa"/>
          </w:tcPr>
          <w:p w:rsidR="00467E91" w:rsidRDefault="00467E91" w:rsidP="00467E91">
            <w:pPr>
              <w:tabs>
                <w:tab w:val="left" w:pos="3686"/>
              </w:tabs>
              <w:jc w:val="both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 HT</w:t>
            </w:r>
          </w:p>
        </w:tc>
      </w:tr>
      <w:tr w:rsidR="00467E91" w:rsidTr="00467E91">
        <w:trPr>
          <w:cnfStyle w:val="000000100000"/>
        </w:trPr>
        <w:tc>
          <w:tcPr>
            <w:cnfStyle w:val="001000000000"/>
            <w:tcW w:w="2835" w:type="dxa"/>
            <w:tcBorders>
              <w:bottom w:val="nil"/>
              <w:right w:val="single" w:sz="8" w:space="0" w:color="B3CC82" w:themeColor="accent3" w:themeTint="BF"/>
            </w:tcBorders>
          </w:tcPr>
          <w:p w:rsidR="00467E91" w:rsidRDefault="00467E91" w:rsidP="00467E91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Batterie Jazz </w:t>
            </w:r>
            <w:proofErr w:type="spellStart"/>
            <w:r>
              <w:rPr>
                <w:sz w:val="22"/>
                <w:szCs w:val="22"/>
              </w:rPr>
              <w:t>Gretsch</w:t>
            </w:r>
            <w:proofErr w:type="spellEnd"/>
            <w:r>
              <w:rPr>
                <w:sz w:val="22"/>
                <w:szCs w:val="22"/>
              </w:rPr>
              <w:t xml:space="preserve"> J484</w:t>
            </w:r>
          </w:p>
        </w:tc>
        <w:tc>
          <w:tcPr>
            <w:tcW w:w="850" w:type="dxa"/>
            <w:tcBorders>
              <w:left w:val="single" w:sz="8" w:space="0" w:color="B3CC82" w:themeColor="accent3" w:themeTint="BF"/>
              <w:bottom w:val="nil"/>
              <w:right w:val="single" w:sz="8" w:space="0" w:color="B3CC82" w:themeColor="accent3" w:themeTint="BF"/>
            </w:tcBorders>
          </w:tcPr>
          <w:p w:rsidR="00467E91" w:rsidRDefault="00467E91" w:rsidP="00467E91">
            <w:pPr>
              <w:tabs>
                <w:tab w:val="left" w:pos="3686"/>
              </w:tabs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20 %</w:t>
            </w:r>
          </w:p>
        </w:tc>
        <w:tc>
          <w:tcPr>
            <w:tcW w:w="1134" w:type="dxa"/>
            <w:tcBorders>
              <w:left w:val="single" w:sz="8" w:space="0" w:color="B3CC82" w:themeColor="accent3" w:themeTint="BF"/>
              <w:bottom w:val="nil"/>
            </w:tcBorders>
          </w:tcPr>
          <w:p w:rsidR="00467E91" w:rsidRDefault="00467E91" w:rsidP="00467E91">
            <w:pPr>
              <w:tabs>
                <w:tab w:val="left" w:pos="3686"/>
              </w:tabs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3 700,00</w:t>
            </w:r>
          </w:p>
        </w:tc>
      </w:tr>
      <w:tr w:rsidR="00467E91" w:rsidTr="00467E91">
        <w:trPr>
          <w:cnfStyle w:val="000000010000"/>
        </w:trPr>
        <w:tc>
          <w:tcPr>
            <w:cnfStyle w:val="001000000000"/>
            <w:tcW w:w="2835" w:type="dxa"/>
            <w:tcBorders>
              <w:top w:val="nil"/>
              <w:bottom w:val="nil"/>
              <w:right w:val="single" w:sz="8" w:space="0" w:color="B3CC82" w:themeColor="accent3" w:themeTint="BF"/>
            </w:tcBorders>
          </w:tcPr>
          <w:p w:rsidR="00467E91" w:rsidRDefault="00467E91" w:rsidP="00467E91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Djembé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Slammer</w:t>
            </w:r>
            <w:proofErr w:type="spellEnd"/>
            <w:r>
              <w:rPr>
                <w:sz w:val="22"/>
                <w:szCs w:val="22"/>
              </w:rPr>
              <w:t xml:space="preserve"> rouge</w:t>
            </w:r>
          </w:p>
        </w:tc>
        <w:tc>
          <w:tcPr>
            <w:tcW w:w="850" w:type="dxa"/>
            <w:tcBorders>
              <w:top w:val="nil"/>
              <w:left w:val="single" w:sz="8" w:space="0" w:color="B3CC82" w:themeColor="accent3" w:themeTint="BF"/>
              <w:bottom w:val="nil"/>
              <w:right w:val="single" w:sz="8" w:space="0" w:color="B3CC82" w:themeColor="accent3" w:themeTint="BF"/>
            </w:tcBorders>
          </w:tcPr>
          <w:p w:rsidR="00467E91" w:rsidRDefault="00467E91" w:rsidP="00467E91">
            <w:pPr>
              <w:tabs>
                <w:tab w:val="left" w:pos="3686"/>
              </w:tabs>
              <w:jc w:val="both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20 %</w:t>
            </w:r>
          </w:p>
        </w:tc>
        <w:tc>
          <w:tcPr>
            <w:tcW w:w="1134" w:type="dxa"/>
            <w:tcBorders>
              <w:top w:val="nil"/>
              <w:left w:val="single" w:sz="8" w:space="0" w:color="B3CC82" w:themeColor="accent3" w:themeTint="BF"/>
              <w:bottom w:val="nil"/>
            </w:tcBorders>
          </w:tcPr>
          <w:p w:rsidR="00467E91" w:rsidRDefault="00467E91" w:rsidP="00467E91">
            <w:pPr>
              <w:tabs>
                <w:tab w:val="left" w:pos="3686"/>
              </w:tabs>
              <w:jc w:val="both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169,00</w:t>
            </w:r>
          </w:p>
        </w:tc>
      </w:tr>
      <w:tr w:rsidR="00467E91" w:rsidTr="00467E91">
        <w:trPr>
          <w:cnfStyle w:val="000000100000"/>
        </w:trPr>
        <w:tc>
          <w:tcPr>
            <w:cnfStyle w:val="001000000000"/>
            <w:tcW w:w="2835" w:type="dxa"/>
            <w:tcBorders>
              <w:top w:val="nil"/>
              <w:right w:val="single" w:sz="8" w:space="0" w:color="B3CC82" w:themeColor="accent3" w:themeTint="BF"/>
            </w:tcBorders>
          </w:tcPr>
          <w:p w:rsidR="00467E91" w:rsidRDefault="00467E91" w:rsidP="00467E91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Cymbale </w:t>
            </w:r>
            <w:proofErr w:type="spellStart"/>
            <w:r>
              <w:rPr>
                <w:sz w:val="22"/>
                <w:szCs w:val="22"/>
              </w:rPr>
              <w:t>Zydjan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67E91" w:rsidRDefault="00467E91" w:rsidP="00467E91">
            <w:pPr>
              <w:tabs>
                <w:tab w:val="left" w:pos="3686"/>
              </w:tabs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20 %</w:t>
            </w:r>
          </w:p>
        </w:tc>
        <w:tc>
          <w:tcPr>
            <w:tcW w:w="1134" w:type="dxa"/>
            <w:tcBorders>
              <w:top w:val="nil"/>
              <w:left w:val="single" w:sz="8" w:space="0" w:color="B3CC82" w:themeColor="accent3" w:themeTint="BF"/>
            </w:tcBorders>
          </w:tcPr>
          <w:p w:rsidR="00467E91" w:rsidRDefault="00467E91" w:rsidP="00467E91">
            <w:pPr>
              <w:tabs>
                <w:tab w:val="left" w:pos="3686"/>
              </w:tabs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</w:tr>
    </w:tbl>
    <w:p w:rsidR="00DD671D" w:rsidRPr="00467E91" w:rsidRDefault="00DD671D" w:rsidP="00DD671D">
      <w:pPr>
        <w:tabs>
          <w:tab w:val="left" w:pos="3686"/>
        </w:tabs>
        <w:ind w:left="567"/>
        <w:jc w:val="both"/>
        <w:rPr>
          <w:sz w:val="12"/>
          <w:szCs w:val="12"/>
        </w:rPr>
      </w:pPr>
    </w:p>
    <w:p w:rsidR="00467E91" w:rsidRDefault="00467E91" w:rsidP="00467E91">
      <w:pPr>
        <w:tabs>
          <w:tab w:val="left" w:pos="368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Calcule le prix Toute Taxe Comprise (TTC</w:t>
      </w:r>
      <w:r w:rsidR="000306E7">
        <w:rPr>
          <w:sz w:val="22"/>
          <w:szCs w:val="22"/>
        </w:rPr>
        <w:t>, celui</w:t>
      </w:r>
      <w:r>
        <w:rPr>
          <w:sz w:val="22"/>
          <w:szCs w:val="22"/>
        </w:rPr>
        <w:t xml:space="preserve"> </w:t>
      </w:r>
      <w:r w:rsidR="000306E7">
        <w:rPr>
          <w:sz w:val="22"/>
          <w:szCs w:val="22"/>
        </w:rPr>
        <w:t xml:space="preserve">qui inclut la TVA) </w:t>
      </w:r>
      <w:r>
        <w:rPr>
          <w:sz w:val="22"/>
          <w:szCs w:val="22"/>
        </w:rPr>
        <w:t>de ces trois articles.</w:t>
      </w:r>
    </w:p>
    <w:p w:rsidR="00DD671D" w:rsidRDefault="00D5406A" w:rsidP="00DD671D">
      <w:pPr>
        <w:tabs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DD671D">
        <w:rPr>
          <w:color w:val="17365D" w:themeColor="text2" w:themeShade="BF"/>
          <w:sz w:val="40"/>
          <w:szCs w:val="40"/>
        </w:rPr>
        <w:instrText xml:space="preserve"> eq \x(6)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DD671D" w:rsidRPr="00DD671D">
        <w:rPr>
          <w:sz w:val="22"/>
          <w:szCs w:val="22"/>
        </w:rPr>
        <w:t xml:space="preserve"> </w:t>
      </w:r>
      <w:r w:rsidR="0029796F">
        <w:rPr>
          <w:sz w:val="22"/>
          <w:szCs w:val="22"/>
        </w:rPr>
        <w:t>Voici l’extrait d’une facture :</w:t>
      </w:r>
    </w:p>
    <w:p w:rsidR="00DD671D" w:rsidRDefault="000306E7" w:rsidP="0029796F">
      <w:pPr>
        <w:tabs>
          <w:tab w:val="left" w:pos="3686"/>
        </w:tabs>
        <w:ind w:left="284"/>
        <w:jc w:val="both"/>
        <w:rPr>
          <w:sz w:val="22"/>
          <w:szCs w:val="22"/>
        </w:rPr>
      </w:pPr>
      <w:r w:rsidRPr="000306E7">
        <w:rPr>
          <w:noProof/>
          <w:szCs w:val="22"/>
        </w:rPr>
        <w:drawing>
          <wp:inline distT="0" distB="0" distL="0" distR="0">
            <wp:extent cx="3021033" cy="1065646"/>
            <wp:effectExtent l="19050" t="0" r="7917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03" cy="106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FB" w:rsidRDefault="0029796F" w:rsidP="0029796F">
      <w:pPr>
        <w:tabs>
          <w:tab w:val="left" w:pos="3686"/>
        </w:tabs>
        <w:ind w:left="284"/>
        <w:rPr>
          <w:sz w:val="22"/>
          <w:szCs w:val="22"/>
        </w:rPr>
      </w:pPr>
      <w:r w:rsidRPr="0029796F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Calcule le montant de la TVA.</w:t>
      </w:r>
    </w:p>
    <w:p w:rsidR="0029796F" w:rsidRDefault="0029796F" w:rsidP="0029796F">
      <w:pPr>
        <w:tabs>
          <w:tab w:val="left" w:pos="3686"/>
        </w:tabs>
        <w:ind w:left="284"/>
        <w:rPr>
          <w:sz w:val="22"/>
          <w:szCs w:val="22"/>
        </w:rPr>
      </w:pPr>
      <w:r w:rsidRPr="0029796F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Calcule de deux façons différentes le total TTC.</w:t>
      </w:r>
    </w:p>
    <w:p w:rsidR="0029796F" w:rsidRDefault="00D5406A" w:rsidP="0029796F">
      <w:pPr>
        <w:tabs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29796F">
        <w:rPr>
          <w:color w:val="17365D" w:themeColor="text2" w:themeShade="BF"/>
          <w:sz w:val="40"/>
          <w:szCs w:val="40"/>
        </w:rPr>
        <w:instrText xml:space="preserve"> eq \x(7)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29796F" w:rsidRPr="0021254F">
        <w:rPr>
          <w:sz w:val="20"/>
        </w:rPr>
        <w:t xml:space="preserve"> </w:t>
      </w:r>
      <w:r w:rsidR="0029796F">
        <w:rPr>
          <w:sz w:val="22"/>
          <w:szCs w:val="22"/>
        </w:rPr>
        <w:t xml:space="preserve">Quelle formule faut-il écrire dans la cellule </w:t>
      </w:r>
      <w:r w:rsidR="0029796F">
        <w:rPr>
          <w:b/>
          <w:sz w:val="22"/>
          <w:szCs w:val="22"/>
        </w:rPr>
        <w:t>C</w:t>
      </w:r>
      <w:r w:rsidR="0029796F" w:rsidRPr="00DA1FC9">
        <w:rPr>
          <w:b/>
          <w:sz w:val="22"/>
          <w:szCs w:val="22"/>
        </w:rPr>
        <w:t>2</w:t>
      </w:r>
      <w:r w:rsidR="0029796F">
        <w:rPr>
          <w:sz w:val="22"/>
          <w:szCs w:val="22"/>
        </w:rPr>
        <w:t xml:space="preserve"> pour pouvoir ensuite l’étirer sur la colonne C ?</w:t>
      </w:r>
    </w:p>
    <w:p w:rsidR="0029796F" w:rsidRPr="00E97D1D" w:rsidRDefault="0029796F" w:rsidP="0029796F">
      <w:pPr>
        <w:tabs>
          <w:tab w:val="left" w:pos="3686"/>
        </w:tabs>
        <w:ind w:left="284" w:hanging="284"/>
        <w:jc w:val="both"/>
        <w:rPr>
          <w:sz w:val="12"/>
          <w:szCs w:val="12"/>
        </w:rPr>
      </w:pPr>
    </w:p>
    <w:p w:rsidR="0029796F" w:rsidRDefault="00467E91" w:rsidP="0029796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74681" cy="872837"/>
            <wp:effectExtent l="1905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5165" r="4955"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05" cy="87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C9" w:rsidRPr="002337D5" w:rsidRDefault="00DA1FC9" w:rsidP="00DA1FC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br w:type="column"/>
      </w:r>
      <w:r>
        <w:rPr>
          <w:i/>
          <w:sz w:val="18"/>
          <w:szCs w:val="18"/>
        </w:rPr>
        <w:lastRenderedPageBreak/>
        <w:t>Pp5 : Calculer et utiliser un pourcentage</w:t>
      </w:r>
      <w:r w:rsidR="009827EE">
        <w:rPr>
          <w:i/>
          <w:sz w:val="18"/>
          <w:szCs w:val="18"/>
        </w:rPr>
        <w:t xml:space="preserve"> – problèmes avancés</w:t>
      </w:r>
    </w:p>
    <w:p w:rsidR="00DA1FC9" w:rsidRDefault="00D5406A" w:rsidP="00DA1FC9">
      <w:pPr>
        <w:tabs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0D725C">
        <w:rPr>
          <w:color w:val="17365D" w:themeColor="text2" w:themeShade="BF"/>
          <w:sz w:val="40"/>
          <w:szCs w:val="40"/>
        </w:rPr>
        <w:instrText xml:space="preserve"> eq \x(</w:instrText>
      </w:r>
      <w:r w:rsidR="00CF2507">
        <w:rPr>
          <w:color w:val="17365D" w:themeColor="text2" w:themeShade="BF"/>
          <w:sz w:val="40"/>
          <w:szCs w:val="40"/>
        </w:rPr>
        <w:instrText>8</w:instrText>
      </w:r>
      <w:r w:rsidR="000D725C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0D725C" w:rsidRPr="0021254F">
        <w:rPr>
          <w:sz w:val="20"/>
        </w:rPr>
        <w:t xml:space="preserve"> </w:t>
      </w:r>
      <w:r w:rsidR="00DA1FC9">
        <w:rPr>
          <w:sz w:val="22"/>
          <w:szCs w:val="22"/>
        </w:rPr>
        <w:t>Mohamed s’est offert un nouvel ordinateur plus puissant. La capacité de son nouveau disque dur est 60 % supérieure à celle de son ancien ordinateur.</w:t>
      </w:r>
    </w:p>
    <w:p w:rsidR="00DA1FC9" w:rsidRDefault="00DA1FC9" w:rsidP="00DA1FC9">
      <w:pPr>
        <w:tabs>
          <w:tab w:val="left" w:pos="368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Sachant que son nouvel ordinateur à un disque dur de 4 TO (soit 4 000 GO), calcule la capacité de l’ancien.</w:t>
      </w:r>
    </w:p>
    <w:p w:rsidR="00DA1FC9" w:rsidRDefault="00D5406A" w:rsidP="00DA1FC9">
      <w:pPr>
        <w:tabs>
          <w:tab w:val="left" w:pos="1701"/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67B9A">
        <w:rPr>
          <w:color w:val="17365D" w:themeColor="text2" w:themeShade="BF"/>
          <w:sz w:val="40"/>
          <w:szCs w:val="40"/>
        </w:rPr>
        <w:instrText xml:space="preserve"> eq \x(</w:instrText>
      </w:r>
      <w:r w:rsidR="00CF2507">
        <w:rPr>
          <w:color w:val="17365D" w:themeColor="text2" w:themeShade="BF"/>
          <w:sz w:val="40"/>
          <w:szCs w:val="40"/>
        </w:rPr>
        <w:instrText>9</w:instrText>
      </w:r>
      <w:r w:rsidR="00C67B9A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67B9A" w:rsidRPr="0021254F">
        <w:rPr>
          <w:sz w:val="20"/>
        </w:rPr>
        <w:t xml:space="preserve"> </w:t>
      </w:r>
      <w:r w:rsidR="00DA1FC9">
        <w:rPr>
          <w:sz w:val="22"/>
          <w:szCs w:val="22"/>
        </w:rPr>
        <w:t xml:space="preserve">Pendant les soldes, Hervé a </w:t>
      </w:r>
      <w:r w:rsidR="00467E91">
        <w:rPr>
          <w:sz w:val="22"/>
          <w:szCs w:val="22"/>
        </w:rPr>
        <w:t>payé</w:t>
      </w:r>
      <w:r w:rsidR="00DA1FC9">
        <w:rPr>
          <w:sz w:val="22"/>
          <w:szCs w:val="22"/>
        </w:rPr>
        <w:t xml:space="preserve"> une paire de chaussures 63 €. Comme elle était soldée à 30 %, il déclare avoir ainsi économisé 30 €. </w:t>
      </w:r>
    </w:p>
    <w:p w:rsidR="00DA1FC9" w:rsidRDefault="00DA1FC9" w:rsidP="00DA1FC9">
      <w:pPr>
        <w:tabs>
          <w:tab w:val="left" w:pos="1701"/>
          <w:tab w:val="left" w:pos="368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Quel est le montant de son économie réelle ?</w:t>
      </w:r>
    </w:p>
    <w:p w:rsidR="00DA1FC9" w:rsidRDefault="00D5406A" w:rsidP="00DA1FC9">
      <w:pPr>
        <w:tabs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C67B9A">
        <w:rPr>
          <w:color w:val="17365D" w:themeColor="text2" w:themeShade="BF"/>
          <w:sz w:val="40"/>
          <w:szCs w:val="40"/>
        </w:rPr>
        <w:instrText xml:space="preserve"> eq \x(</w:instrText>
      </w:r>
      <w:r w:rsidR="00CF2507">
        <w:rPr>
          <w:color w:val="17365D" w:themeColor="text2" w:themeShade="BF"/>
          <w:sz w:val="40"/>
          <w:szCs w:val="40"/>
        </w:rPr>
        <w:instrText>10</w:instrText>
      </w:r>
      <w:r w:rsidR="00C67B9A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C67B9A" w:rsidRPr="00CF2507">
        <w:rPr>
          <w:sz w:val="22"/>
          <w:szCs w:val="22"/>
        </w:rPr>
        <w:t xml:space="preserve"> </w:t>
      </w:r>
      <w:r w:rsidR="00DA1FC9">
        <w:rPr>
          <w:sz w:val="22"/>
          <w:szCs w:val="22"/>
        </w:rPr>
        <w:t>L’entreprise de Lucie connaît quelques difficultés en fin d’année. En temps normal, Lucie touche 2 100 € par mois. Au mois de décembre, son patron lui demande de faire un effort et baisse sa paie de 20 %. En janvier, il lui promet de l’augmenter de 20 % pour que sa paie redevienne normale.</w:t>
      </w:r>
    </w:p>
    <w:p w:rsidR="00DA1FC9" w:rsidRDefault="00DA1FC9" w:rsidP="00DA1FC9">
      <w:pPr>
        <w:tabs>
          <w:tab w:val="left" w:pos="368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Lucie effectue quelques calculs et n’est pas d’accord, pourquoi ?</w:t>
      </w:r>
    </w:p>
    <w:p w:rsidR="00DA1FC9" w:rsidRDefault="00D5406A" w:rsidP="00DA1FC9">
      <w:pPr>
        <w:tabs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A8698D">
        <w:rPr>
          <w:color w:val="17365D" w:themeColor="text2" w:themeShade="BF"/>
          <w:sz w:val="40"/>
          <w:szCs w:val="40"/>
        </w:rPr>
        <w:instrText xml:space="preserve"> eq \x(1</w:instrText>
      </w:r>
      <w:r w:rsidR="003E1FF4">
        <w:rPr>
          <w:color w:val="17365D" w:themeColor="text2" w:themeShade="BF"/>
          <w:sz w:val="40"/>
          <w:szCs w:val="40"/>
        </w:rPr>
        <w:instrText>1</w:instrText>
      </w:r>
      <w:r w:rsidR="00A8698D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A8698D" w:rsidRPr="0021254F">
        <w:rPr>
          <w:sz w:val="20"/>
        </w:rPr>
        <w:t xml:space="preserve"> </w:t>
      </w:r>
      <w:r w:rsidR="00DA1FC9">
        <w:rPr>
          <w:sz w:val="20"/>
        </w:rPr>
        <w:t>« </w:t>
      </w:r>
      <w:r w:rsidR="00DA1FC9" w:rsidRPr="00584076">
        <w:rPr>
          <w:sz w:val="22"/>
          <w:szCs w:val="22"/>
        </w:rPr>
        <w:t>Au mois de novembre</w:t>
      </w:r>
      <w:r w:rsidR="00DA1FC9">
        <w:rPr>
          <w:sz w:val="22"/>
          <w:szCs w:val="22"/>
        </w:rPr>
        <w:t xml:space="preserve"> [2007]</w:t>
      </w:r>
      <w:r w:rsidR="00DA1FC9" w:rsidRPr="00584076">
        <w:rPr>
          <w:sz w:val="22"/>
          <w:szCs w:val="22"/>
        </w:rPr>
        <w:t xml:space="preserve">, les ventes d’ordinateurs portables de Lenovo ont augmenté </w:t>
      </w:r>
      <w:r w:rsidR="00DA1FC9">
        <w:rPr>
          <w:sz w:val="22"/>
          <w:szCs w:val="22"/>
        </w:rPr>
        <w:t>[de]</w:t>
      </w:r>
      <w:r w:rsidR="00DA1FC9" w:rsidRPr="00584076">
        <w:rPr>
          <w:sz w:val="22"/>
          <w:szCs w:val="22"/>
        </w:rPr>
        <w:t xml:space="preserve"> 200</w:t>
      </w:r>
      <w:r w:rsidR="00DA1FC9">
        <w:rPr>
          <w:sz w:val="22"/>
          <w:szCs w:val="22"/>
        </w:rPr>
        <w:t> </w:t>
      </w:r>
      <w:r w:rsidR="00DA1FC9" w:rsidRPr="00584076">
        <w:rPr>
          <w:sz w:val="22"/>
          <w:szCs w:val="22"/>
        </w:rPr>
        <w:t xml:space="preserve">% par rapport aux niveaux enregistrés mensuellement au troisième trimestre selon le journal </w:t>
      </w:r>
      <w:proofErr w:type="spellStart"/>
      <w:r w:rsidR="00DA1FC9" w:rsidRPr="00584076">
        <w:rPr>
          <w:sz w:val="22"/>
          <w:szCs w:val="22"/>
        </w:rPr>
        <w:t>Economic</w:t>
      </w:r>
      <w:proofErr w:type="spellEnd"/>
      <w:r w:rsidR="00DA1FC9" w:rsidRPr="00584076">
        <w:rPr>
          <w:sz w:val="22"/>
          <w:szCs w:val="22"/>
        </w:rPr>
        <w:t xml:space="preserve"> Daily News.</w:t>
      </w:r>
      <w:r w:rsidR="00DA1FC9">
        <w:rPr>
          <w:sz w:val="22"/>
          <w:szCs w:val="22"/>
        </w:rPr>
        <w:t> » (</w:t>
      </w:r>
      <w:r w:rsidR="00DA1FC9" w:rsidRPr="00AD4D37">
        <w:rPr>
          <w:i/>
          <w:sz w:val="22"/>
          <w:szCs w:val="22"/>
          <w:u w:val="single"/>
        </w:rPr>
        <w:t>www.laptotspirit.fr</w:t>
      </w:r>
      <w:r w:rsidR="00DA1FC9">
        <w:rPr>
          <w:sz w:val="22"/>
          <w:szCs w:val="22"/>
        </w:rPr>
        <w:t>)</w:t>
      </w:r>
    </w:p>
    <w:p w:rsidR="00DA1FC9" w:rsidRDefault="00DA1FC9" w:rsidP="00DA1FC9">
      <w:pPr>
        <w:tabs>
          <w:tab w:val="left" w:pos="3686"/>
        </w:tabs>
        <w:ind w:left="284"/>
        <w:jc w:val="both"/>
      </w:pPr>
      <w:r>
        <w:rPr>
          <w:sz w:val="22"/>
          <w:szCs w:val="22"/>
        </w:rPr>
        <w:t>En justifiant par des calculs, explique ce que signifie une augmentation de 200 %.</w:t>
      </w:r>
    </w:p>
    <w:p w:rsidR="00DA1FC9" w:rsidRDefault="00D5406A" w:rsidP="00DA1FC9">
      <w:pPr>
        <w:tabs>
          <w:tab w:val="left" w:pos="3686"/>
        </w:tabs>
        <w:ind w:left="284" w:hanging="284"/>
        <w:jc w:val="both"/>
        <w:rPr>
          <w:sz w:val="22"/>
          <w:szCs w:val="22"/>
        </w:rPr>
      </w:pPr>
      <w:r w:rsidRPr="0022197B">
        <w:rPr>
          <w:color w:val="17365D" w:themeColor="text2" w:themeShade="BF"/>
          <w:sz w:val="40"/>
          <w:szCs w:val="40"/>
        </w:rPr>
        <w:fldChar w:fldCharType="begin"/>
      </w:r>
      <w:r w:rsidR="00A8698D" w:rsidRPr="0022197B">
        <w:rPr>
          <w:color w:val="17365D" w:themeColor="text2" w:themeShade="BF"/>
          <w:sz w:val="40"/>
          <w:szCs w:val="40"/>
        </w:rPr>
        <w:instrText xml:space="preserve"> eq \x(1</w:instrText>
      </w:r>
      <w:r w:rsidR="003E1FF4">
        <w:rPr>
          <w:color w:val="17365D" w:themeColor="text2" w:themeShade="BF"/>
          <w:sz w:val="40"/>
          <w:szCs w:val="40"/>
        </w:rPr>
        <w:instrText>2</w:instrText>
      </w:r>
      <w:r w:rsidR="00A8698D" w:rsidRPr="0022197B">
        <w:rPr>
          <w:color w:val="17365D" w:themeColor="text2" w:themeShade="BF"/>
          <w:sz w:val="40"/>
          <w:szCs w:val="40"/>
        </w:rPr>
        <w:instrText>)</w:instrText>
      </w:r>
      <w:r w:rsidRPr="0022197B">
        <w:rPr>
          <w:color w:val="17365D" w:themeColor="text2" w:themeShade="BF"/>
          <w:sz w:val="40"/>
          <w:szCs w:val="40"/>
        </w:rPr>
        <w:fldChar w:fldCharType="end"/>
      </w:r>
      <w:r w:rsidR="00A8698D" w:rsidRPr="0022197B">
        <w:rPr>
          <w:sz w:val="20"/>
        </w:rPr>
        <w:t xml:space="preserve"> </w:t>
      </w:r>
      <w:r w:rsidR="00DA1FC9">
        <w:rPr>
          <w:sz w:val="20"/>
        </w:rPr>
        <w:t>« </w:t>
      </w:r>
      <w:r w:rsidR="00DA1FC9" w:rsidRPr="003C0D75">
        <w:rPr>
          <w:sz w:val="22"/>
          <w:szCs w:val="22"/>
        </w:rPr>
        <w:t>Selon les statistiques provisoires de l'Observatoire national interministériel de la sécurité routière (ONISR), 335 personnes ont perdu la vie sur les routes de France métropolitaine en septembre 2016</w:t>
      </w:r>
      <w:r w:rsidR="00DA1FC9">
        <w:rPr>
          <w:sz w:val="22"/>
          <w:szCs w:val="22"/>
        </w:rPr>
        <w:t xml:space="preserve">, contre 257 en septembre 2015, </w:t>
      </w:r>
      <w:r w:rsidR="00DA1FC9" w:rsidRPr="003C0D75">
        <w:rPr>
          <w:sz w:val="22"/>
          <w:szCs w:val="22"/>
        </w:rPr>
        <w:t xml:space="preserve">ce qui correspond à une augmentation de </w:t>
      </w:r>
      <w:r w:rsidR="00DA1FC9">
        <w:rPr>
          <w:sz w:val="22"/>
          <w:szCs w:val="22"/>
        </w:rPr>
        <w:t>……… par rapport à septembre 2015. » (</w:t>
      </w:r>
      <w:r w:rsidR="00DA1FC9" w:rsidRPr="008E36ED">
        <w:rPr>
          <w:i/>
          <w:sz w:val="22"/>
          <w:szCs w:val="22"/>
        </w:rPr>
        <w:t>www.securite.routière.gouv.fr</w:t>
      </w:r>
      <w:r w:rsidR="00DA1FC9">
        <w:rPr>
          <w:sz w:val="22"/>
          <w:szCs w:val="22"/>
        </w:rPr>
        <w:t>)</w:t>
      </w:r>
    </w:p>
    <w:p w:rsidR="00DA1FC9" w:rsidRDefault="00DA1FC9" w:rsidP="00DA1FC9">
      <w:pPr>
        <w:tabs>
          <w:tab w:val="left" w:pos="368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Calcule le pourcentage manquant de ce texte, au dixième près.</w:t>
      </w:r>
    </w:p>
    <w:p w:rsidR="00DA1FC9" w:rsidRDefault="00D5406A" w:rsidP="00DA1FC9">
      <w:pPr>
        <w:tabs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DA1FC9">
        <w:rPr>
          <w:color w:val="17365D" w:themeColor="text2" w:themeShade="BF"/>
          <w:sz w:val="40"/>
          <w:szCs w:val="40"/>
        </w:rPr>
        <w:instrText xml:space="preserve"> eq \x(</w:instrText>
      </w:r>
      <w:r w:rsidR="0029796F">
        <w:rPr>
          <w:color w:val="17365D" w:themeColor="text2" w:themeShade="BF"/>
          <w:sz w:val="40"/>
          <w:szCs w:val="40"/>
        </w:rPr>
        <w:instrText>13</w:instrText>
      </w:r>
      <w:r w:rsidR="00DA1FC9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DA1FC9" w:rsidRPr="0021254F">
        <w:rPr>
          <w:sz w:val="20"/>
        </w:rPr>
        <w:t xml:space="preserve"> </w:t>
      </w:r>
      <w:r w:rsidR="00DA1FC9">
        <w:rPr>
          <w:sz w:val="20"/>
        </w:rPr>
        <w:t>« </w:t>
      </w:r>
      <w:r w:rsidR="00DA1FC9" w:rsidRPr="008E36ED">
        <w:rPr>
          <w:sz w:val="22"/>
          <w:szCs w:val="22"/>
        </w:rPr>
        <w:t xml:space="preserve">Après une baisse de 0,5% en juillet, le nombre de demandeurs d'emploi de catégorie A </w:t>
      </w:r>
      <w:r w:rsidR="0029796F">
        <w:rPr>
          <w:sz w:val="22"/>
          <w:szCs w:val="22"/>
        </w:rPr>
        <w:t>[…]</w:t>
      </w:r>
      <w:r w:rsidR="00DA1FC9" w:rsidRPr="008E36ED">
        <w:rPr>
          <w:sz w:val="22"/>
          <w:szCs w:val="22"/>
        </w:rPr>
        <w:t xml:space="preserve"> a progressé de 1,4% sur un mois, </w:t>
      </w:r>
      <w:r w:rsidR="0029796F">
        <w:rPr>
          <w:sz w:val="22"/>
          <w:szCs w:val="22"/>
        </w:rPr>
        <w:t>[pour atteindre]</w:t>
      </w:r>
      <w:r w:rsidR="00DA1FC9" w:rsidRPr="008E36ED">
        <w:rPr>
          <w:sz w:val="22"/>
          <w:szCs w:val="22"/>
        </w:rPr>
        <w:t xml:space="preserve"> 3</w:t>
      </w:r>
      <w:r w:rsidR="00DA1FC9">
        <w:rPr>
          <w:sz w:val="22"/>
          <w:szCs w:val="22"/>
        </w:rPr>
        <w:t> </w:t>
      </w:r>
      <w:r w:rsidR="00DA1FC9" w:rsidRPr="008E36ED">
        <w:rPr>
          <w:sz w:val="22"/>
          <w:szCs w:val="22"/>
        </w:rPr>
        <w:t>556</w:t>
      </w:r>
      <w:r w:rsidR="00DA1FC9">
        <w:rPr>
          <w:sz w:val="22"/>
          <w:szCs w:val="22"/>
        </w:rPr>
        <w:t> </w:t>
      </w:r>
      <w:r w:rsidR="00DA1FC9" w:rsidRPr="008E36ED">
        <w:rPr>
          <w:sz w:val="22"/>
          <w:szCs w:val="22"/>
        </w:rPr>
        <w:t>800 en août</w:t>
      </w:r>
      <w:r w:rsidR="00DA1FC9">
        <w:rPr>
          <w:sz w:val="22"/>
          <w:szCs w:val="22"/>
        </w:rPr>
        <w:t xml:space="preserve"> 2016. » (</w:t>
      </w:r>
      <w:hyperlink r:id="rId7" w:history="1">
        <w:r w:rsidR="00DA1FC9" w:rsidRPr="008F2BA7">
          <w:rPr>
            <w:rStyle w:val="Lienhypertexte"/>
            <w:i/>
            <w:sz w:val="22"/>
            <w:szCs w:val="22"/>
          </w:rPr>
          <w:t>www.journaldunet.com</w:t>
        </w:r>
      </w:hyperlink>
      <w:r w:rsidR="00DA1FC9">
        <w:rPr>
          <w:sz w:val="22"/>
          <w:szCs w:val="22"/>
        </w:rPr>
        <w:t>)</w:t>
      </w:r>
    </w:p>
    <w:p w:rsidR="00DA1FC9" w:rsidRDefault="00DA1FC9" w:rsidP="00DA1FC9">
      <w:pPr>
        <w:tabs>
          <w:tab w:val="left" w:pos="368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Calcule en arrondissant à 100 chômeurs près :</w:t>
      </w:r>
    </w:p>
    <w:p w:rsidR="00DA1FC9" w:rsidRDefault="00DA1FC9" w:rsidP="00DA1FC9">
      <w:pPr>
        <w:tabs>
          <w:tab w:val="left" w:pos="3686"/>
        </w:tabs>
        <w:ind w:left="284"/>
        <w:jc w:val="both"/>
        <w:rPr>
          <w:sz w:val="22"/>
          <w:szCs w:val="22"/>
        </w:rPr>
      </w:pPr>
      <w:r w:rsidRPr="008E36ED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le nombre de chômeurs en juillet ;</w:t>
      </w:r>
    </w:p>
    <w:p w:rsidR="00DA1FC9" w:rsidRDefault="00DA1FC9" w:rsidP="00DA1FC9">
      <w:pPr>
        <w:tabs>
          <w:tab w:val="left" w:pos="3686"/>
        </w:tabs>
        <w:ind w:left="284"/>
        <w:jc w:val="both"/>
        <w:rPr>
          <w:sz w:val="22"/>
          <w:szCs w:val="22"/>
        </w:rPr>
      </w:pPr>
      <w:r w:rsidRPr="008E36ED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le nombre de chômeurs en juin.</w:t>
      </w:r>
    </w:p>
    <w:p w:rsidR="00DA1FC9" w:rsidRDefault="00D5406A" w:rsidP="00DA1FC9">
      <w:pPr>
        <w:tabs>
          <w:tab w:val="left" w:pos="3686"/>
        </w:tabs>
        <w:ind w:left="284" w:hanging="284"/>
        <w:jc w:val="both"/>
        <w:rPr>
          <w:sz w:val="22"/>
          <w:szCs w:val="22"/>
        </w:rPr>
      </w:pPr>
      <w:r>
        <w:rPr>
          <w:color w:val="17365D" w:themeColor="text2" w:themeShade="BF"/>
          <w:sz w:val="40"/>
          <w:szCs w:val="40"/>
        </w:rPr>
        <w:fldChar w:fldCharType="begin"/>
      </w:r>
      <w:r w:rsidR="00DA1FC9">
        <w:rPr>
          <w:color w:val="17365D" w:themeColor="text2" w:themeShade="BF"/>
          <w:sz w:val="40"/>
          <w:szCs w:val="40"/>
        </w:rPr>
        <w:instrText xml:space="preserve"> eq \x(</w:instrText>
      </w:r>
      <w:r w:rsidR="0029796F">
        <w:rPr>
          <w:color w:val="17365D" w:themeColor="text2" w:themeShade="BF"/>
          <w:sz w:val="40"/>
          <w:szCs w:val="40"/>
        </w:rPr>
        <w:instrText>14</w:instrText>
      </w:r>
      <w:r w:rsidR="00DA1FC9">
        <w:rPr>
          <w:color w:val="17365D" w:themeColor="text2" w:themeShade="BF"/>
          <w:sz w:val="40"/>
          <w:szCs w:val="40"/>
        </w:rPr>
        <w:instrText>)</w:instrText>
      </w:r>
      <w:r>
        <w:rPr>
          <w:color w:val="17365D" w:themeColor="text2" w:themeShade="BF"/>
          <w:sz w:val="40"/>
          <w:szCs w:val="40"/>
        </w:rPr>
        <w:fldChar w:fldCharType="end"/>
      </w:r>
      <w:r w:rsidR="00DA1FC9" w:rsidRPr="0021254F">
        <w:rPr>
          <w:sz w:val="20"/>
        </w:rPr>
        <w:t xml:space="preserve"> </w:t>
      </w:r>
      <w:r w:rsidR="00DA1FC9">
        <w:rPr>
          <w:sz w:val="22"/>
          <w:szCs w:val="22"/>
        </w:rPr>
        <w:t xml:space="preserve">Quelle formule faut-il écrire dans la cellule </w:t>
      </w:r>
      <w:r w:rsidR="00DA1FC9" w:rsidRPr="00DA1FC9">
        <w:rPr>
          <w:b/>
          <w:sz w:val="22"/>
          <w:szCs w:val="22"/>
        </w:rPr>
        <w:t>A2</w:t>
      </w:r>
      <w:r w:rsidR="00DA1FC9">
        <w:rPr>
          <w:sz w:val="22"/>
          <w:szCs w:val="22"/>
        </w:rPr>
        <w:t xml:space="preserve"> pour pouvoir ensuite l’étirer sur la colonne A ?</w:t>
      </w:r>
    </w:p>
    <w:p w:rsidR="00DA1FC9" w:rsidRPr="00E97D1D" w:rsidRDefault="00DA1FC9" w:rsidP="00DA1FC9">
      <w:pPr>
        <w:tabs>
          <w:tab w:val="left" w:pos="3686"/>
        </w:tabs>
        <w:ind w:left="284" w:hanging="284"/>
        <w:jc w:val="both"/>
        <w:rPr>
          <w:sz w:val="12"/>
          <w:szCs w:val="12"/>
        </w:rPr>
      </w:pPr>
    </w:p>
    <w:p w:rsidR="0054162A" w:rsidRDefault="00DA1FC9" w:rsidP="00DA1FC9">
      <w:pPr>
        <w:jc w:val="center"/>
        <w:rPr>
          <w:sz w:val="22"/>
          <w:szCs w:val="22"/>
        </w:rPr>
      </w:pPr>
      <w:r w:rsidRPr="00DA1FC9">
        <w:rPr>
          <w:noProof/>
          <w:sz w:val="22"/>
          <w:szCs w:val="22"/>
        </w:rPr>
        <w:drawing>
          <wp:inline distT="0" distB="0" distL="0" distR="0">
            <wp:extent cx="2439143" cy="914826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39" t="41415" r="20971" b="2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43" cy="91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62A" w:rsidSect="00B56206">
      <w:type w:val="continuous"/>
      <w:pgSz w:w="11906" w:h="16838"/>
      <w:pgMar w:top="567" w:right="567" w:bottom="567" w:left="567" w:header="720" w:footer="720" w:gutter="0"/>
      <w:cols w:num="2" w:sep="1"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DE0DDE"/>
    <w:multiLevelType w:val="hybridMultilevel"/>
    <w:tmpl w:val="7B08777E"/>
    <w:lvl w:ilvl="0" w:tplc="98C648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34C2D"/>
    <w:multiLevelType w:val="hybridMultilevel"/>
    <w:tmpl w:val="7B08777E"/>
    <w:lvl w:ilvl="0" w:tplc="98C648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attachedTemplate r:id="rId1"/>
  <w:stylePaneFormatFilter w:val="3F01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20253A"/>
    <w:rsid w:val="00010670"/>
    <w:rsid w:val="000306E7"/>
    <w:rsid w:val="000318EF"/>
    <w:rsid w:val="000401BC"/>
    <w:rsid w:val="00077E9D"/>
    <w:rsid w:val="0009078A"/>
    <w:rsid w:val="000C75E2"/>
    <w:rsid w:val="000D725C"/>
    <w:rsid w:val="000E50F7"/>
    <w:rsid w:val="000F2087"/>
    <w:rsid w:val="00130077"/>
    <w:rsid w:val="001501B7"/>
    <w:rsid w:val="001E7B86"/>
    <w:rsid w:val="002006AA"/>
    <w:rsid w:val="002016EF"/>
    <w:rsid w:val="0020253A"/>
    <w:rsid w:val="00220D55"/>
    <w:rsid w:val="0022197B"/>
    <w:rsid w:val="002337D5"/>
    <w:rsid w:val="00256E5B"/>
    <w:rsid w:val="00296610"/>
    <w:rsid w:val="0029796F"/>
    <w:rsid w:val="002B0390"/>
    <w:rsid w:val="002D6DAF"/>
    <w:rsid w:val="002F55A5"/>
    <w:rsid w:val="003608FB"/>
    <w:rsid w:val="003C0D75"/>
    <w:rsid w:val="003D02F9"/>
    <w:rsid w:val="003E1FF4"/>
    <w:rsid w:val="00403414"/>
    <w:rsid w:val="00460548"/>
    <w:rsid w:val="00467E91"/>
    <w:rsid w:val="004744CB"/>
    <w:rsid w:val="004A069C"/>
    <w:rsid w:val="004A2D86"/>
    <w:rsid w:val="0054162A"/>
    <w:rsid w:val="005554E4"/>
    <w:rsid w:val="005644BF"/>
    <w:rsid w:val="00584076"/>
    <w:rsid w:val="005B07EC"/>
    <w:rsid w:val="00631756"/>
    <w:rsid w:val="00655344"/>
    <w:rsid w:val="00665178"/>
    <w:rsid w:val="0067181A"/>
    <w:rsid w:val="006759D9"/>
    <w:rsid w:val="00675BBF"/>
    <w:rsid w:val="006875EA"/>
    <w:rsid w:val="006878AE"/>
    <w:rsid w:val="006926E9"/>
    <w:rsid w:val="006B1AF4"/>
    <w:rsid w:val="00736186"/>
    <w:rsid w:val="00743D55"/>
    <w:rsid w:val="007A0617"/>
    <w:rsid w:val="007B5146"/>
    <w:rsid w:val="007E0C0C"/>
    <w:rsid w:val="007F601B"/>
    <w:rsid w:val="007F7B4E"/>
    <w:rsid w:val="008257F7"/>
    <w:rsid w:val="008E36ED"/>
    <w:rsid w:val="009827EE"/>
    <w:rsid w:val="0098371F"/>
    <w:rsid w:val="009D7CC8"/>
    <w:rsid w:val="009E1F0A"/>
    <w:rsid w:val="009E3006"/>
    <w:rsid w:val="009F34DF"/>
    <w:rsid w:val="00A35E09"/>
    <w:rsid w:val="00A36B3B"/>
    <w:rsid w:val="00A64B1E"/>
    <w:rsid w:val="00A8698D"/>
    <w:rsid w:val="00AB54C3"/>
    <w:rsid w:val="00AC191E"/>
    <w:rsid w:val="00AD4D37"/>
    <w:rsid w:val="00B07DE0"/>
    <w:rsid w:val="00B16956"/>
    <w:rsid w:val="00B44934"/>
    <w:rsid w:val="00B56206"/>
    <w:rsid w:val="00B7220D"/>
    <w:rsid w:val="00BA4C7D"/>
    <w:rsid w:val="00BC51EB"/>
    <w:rsid w:val="00BD2165"/>
    <w:rsid w:val="00BD4990"/>
    <w:rsid w:val="00BE2DA4"/>
    <w:rsid w:val="00C4458E"/>
    <w:rsid w:val="00C44A9B"/>
    <w:rsid w:val="00C5213C"/>
    <w:rsid w:val="00C67B9A"/>
    <w:rsid w:val="00CB46ED"/>
    <w:rsid w:val="00CF156B"/>
    <w:rsid w:val="00CF2507"/>
    <w:rsid w:val="00CF75FE"/>
    <w:rsid w:val="00D03480"/>
    <w:rsid w:val="00D05553"/>
    <w:rsid w:val="00D2118F"/>
    <w:rsid w:val="00D24AEE"/>
    <w:rsid w:val="00D25E41"/>
    <w:rsid w:val="00D34288"/>
    <w:rsid w:val="00D5406A"/>
    <w:rsid w:val="00D70F94"/>
    <w:rsid w:val="00D85236"/>
    <w:rsid w:val="00DA1FC9"/>
    <w:rsid w:val="00DB3C51"/>
    <w:rsid w:val="00DD671D"/>
    <w:rsid w:val="00E97D1D"/>
    <w:rsid w:val="00EA7C78"/>
    <w:rsid w:val="00EC2834"/>
    <w:rsid w:val="00ED398B"/>
    <w:rsid w:val="00EE68B2"/>
    <w:rsid w:val="00F13EC7"/>
    <w:rsid w:val="00F30338"/>
    <w:rsid w:val="00F344BB"/>
    <w:rsid w:val="00F638A4"/>
    <w:rsid w:val="00FC3398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5E2"/>
    <w:rPr>
      <w:sz w:val="24"/>
    </w:rPr>
  </w:style>
  <w:style w:type="paragraph" w:styleId="Titre1">
    <w:name w:val="heading 1"/>
    <w:basedOn w:val="Normal"/>
    <w:next w:val="Normal"/>
    <w:qFormat/>
    <w:rsid w:val="000C75E2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0C75E2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0C75E2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0C75E2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0C75E2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0C75E2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0C75E2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0C75E2"/>
    <w:rPr>
      <w:i/>
      <w:color w:val="FF0000"/>
      <w:u w:val="single"/>
    </w:rPr>
  </w:style>
  <w:style w:type="paragraph" w:styleId="En-tte">
    <w:name w:val="header"/>
    <w:basedOn w:val="Normal"/>
    <w:rsid w:val="000C75E2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0C75E2"/>
    <w:rPr>
      <w:i/>
      <w:u w:val="single"/>
    </w:rPr>
  </w:style>
  <w:style w:type="paragraph" w:customStyle="1" w:styleId="Exercice">
    <w:name w:val="Exercice"/>
    <w:basedOn w:val="Normal"/>
    <w:rsid w:val="000C75E2"/>
    <w:rPr>
      <w:color w:val="0000FF"/>
      <w:u w:val="single"/>
    </w:rPr>
  </w:style>
  <w:style w:type="paragraph" w:customStyle="1" w:styleId="Priode">
    <w:name w:val="Période"/>
    <w:basedOn w:val="Normal"/>
    <w:rsid w:val="000C75E2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0C75E2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0C75E2"/>
    <w:pPr>
      <w:ind w:left="284"/>
    </w:pPr>
  </w:style>
  <w:style w:type="character" w:customStyle="1" w:styleId="Mthode">
    <w:name w:val="Méthode"/>
    <w:rsid w:val="000C75E2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0C75E2"/>
  </w:style>
  <w:style w:type="character" w:customStyle="1" w:styleId="Proprit">
    <w:name w:val="Propriété"/>
    <w:basedOn w:val="Policepardfaut"/>
    <w:rsid w:val="000C75E2"/>
    <w:rPr>
      <w:rFonts w:ascii="Times New Roman" w:hAnsi="Times New Roman"/>
      <w:i/>
      <w:sz w:val="24"/>
      <w:u w:val="single"/>
      <w:vertAlign w:val="baseline"/>
    </w:rPr>
  </w:style>
  <w:style w:type="paragraph" w:styleId="Textedebulles">
    <w:name w:val="Balloon Text"/>
    <w:basedOn w:val="Normal"/>
    <w:link w:val="TextedebullesCar"/>
    <w:rsid w:val="00C67B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7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C3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42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4076"/>
    <w:pPr>
      <w:spacing w:before="100" w:beforeAutospacing="1" w:after="100" w:afterAutospacing="1"/>
    </w:pPr>
    <w:rPr>
      <w:szCs w:val="24"/>
    </w:rPr>
  </w:style>
  <w:style w:type="character" w:styleId="Lienhypertexte">
    <w:name w:val="Hyperlink"/>
    <w:basedOn w:val="Policepardfaut"/>
    <w:rsid w:val="008E36ED"/>
    <w:rPr>
      <w:color w:val="0000FF" w:themeColor="hyperlink"/>
      <w:u w:val="single"/>
    </w:rPr>
  </w:style>
  <w:style w:type="table" w:styleId="Colonnes2">
    <w:name w:val="Table Columns 2"/>
    <w:basedOn w:val="TableauNormal"/>
    <w:rsid w:val="00467E9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amemoyenne1-Accent3">
    <w:name w:val="Medium Shading 1 Accent 3"/>
    <w:basedOn w:val="TableauNormal"/>
    <w:uiPriority w:val="63"/>
    <w:rsid w:val="00467E9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journaldu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Office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Amath97.dot</Template>
  <TotalTime>43</TotalTime>
  <Pages>1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DarkTrooper</dc:creator>
  <cp:lastModifiedBy>DarkTrooper</cp:lastModifiedBy>
  <cp:revision>6</cp:revision>
  <dcterms:created xsi:type="dcterms:W3CDTF">2018-02-17T10:19:00Z</dcterms:created>
  <dcterms:modified xsi:type="dcterms:W3CDTF">2018-02-20T09:48:00Z</dcterms:modified>
</cp:coreProperties>
</file>